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D0" w:rsidRPr="0086008B" w:rsidRDefault="009D7485" w:rsidP="0086008B">
      <w:pPr>
        <w:spacing w:after="0"/>
        <w:jc w:val="center"/>
        <w:rPr>
          <w:sz w:val="24"/>
          <w:szCs w:val="24"/>
        </w:rPr>
      </w:pPr>
      <w:r>
        <w:rPr>
          <w:noProof/>
          <w:sz w:val="52"/>
          <w:szCs w:val="52"/>
        </w:rPr>
        <w:drawing>
          <wp:inline distT="0" distB="0" distL="0" distR="0" wp14:anchorId="025E3DC5" wp14:editId="74746A82">
            <wp:extent cx="1143000" cy="1045585"/>
            <wp:effectExtent l="0" t="0" r="0" b="2540"/>
            <wp:docPr id="1" name="Picture 1" descr="C:\Users\stevan.perez1\Pictures\AIT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an.perez1\Pictures\AIT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21" cy="104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08B">
        <w:rPr>
          <w:sz w:val="52"/>
          <w:szCs w:val="52"/>
        </w:rPr>
        <w:t xml:space="preserve">          </w:t>
      </w:r>
      <w:r>
        <w:rPr>
          <w:sz w:val="52"/>
          <w:szCs w:val="52"/>
        </w:rPr>
        <w:t xml:space="preserve"> </w:t>
      </w:r>
      <w:r w:rsidR="0086008B" w:rsidRPr="0086008B">
        <w:rPr>
          <w:rFonts w:ascii="Arial" w:eastAsiaTheme="majorEastAsia" w:hAnsi="Arial" w:cs="Arial"/>
          <w:color w:val="000000" w:themeColor="text1"/>
          <w:kern w:val="24"/>
          <w:sz w:val="52"/>
          <w:szCs w:val="52"/>
        </w:rPr>
        <w:t>ADVANCED</w:t>
      </w:r>
      <w:r w:rsidR="0086008B">
        <w:rPr>
          <w:rFonts w:ascii="Arial" w:eastAsiaTheme="majorEastAsia" w:hAnsi="Arial" w:cs="Arial"/>
          <w:color w:val="000000" w:themeColor="text1"/>
          <w:kern w:val="24"/>
          <w:sz w:val="52"/>
          <w:szCs w:val="52"/>
        </w:rPr>
        <w:t xml:space="preserve">       </w:t>
      </w:r>
      <w:r w:rsidR="0086008B">
        <w:rPr>
          <w:noProof/>
          <w:sz w:val="52"/>
          <w:szCs w:val="52"/>
        </w:rPr>
        <w:drawing>
          <wp:inline distT="0" distB="0" distL="0" distR="0" wp14:anchorId="3126E30F" wp14:editId="3BE17B29">
            <wp:extent cx="1076325" cy="1076325"/>
            <wp:effectExtent l="0" t="0" r="9525" b="9525"/>
            <wp:docPr id="2" name="Picture 2" descr="C:\Users\stevan.perez1\Pictures\AITB2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van.perez1\Pictures\AITB2.jp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08B" w:rsidRPr="0086008B">
        <w:rPr>
          <w:rFonts w:ascii="Arial" w:eastAsiaTheme="majorEastAsia" w:hAnsi="Arial" w:cs="Arial"/>
          <w:color w:val="000000" w:themeColor="text1"/>
          <w:kern w:val="24"/>
          <w:sz w:val="52"/>
          <w:szCs w:val="52"/>
        </w:rPr>
        <w:br/>
        <w:t xml:space="preserve"> MACHINEGUN COURSE</w:t>
      </w:r>
      <w:r w:rsidR="0086008B">
        <w:rPr>
          <w:rFonts w:ascii="Arial" w:eastAsiaTheme="majorEastAsia" w:hAnsi="Arial" w:cs="Arial"/>
          <w:color w:val="000000" w:themeColor="text1"/>
          <w:kern w:val="24"/>
          <w:sz w:val="52"/>
          <w:szCs w:val="52"/>
        </w:rPr>
        <w:t xml:space="preserve">                   </w:t>
      </w:r>
      <w:r w:rsidRPr="009D7485">
        <w:rPr>
          <w:sz w:val="52"/>
          <w:szCs w:val="52"/>
        </w:rPr>
        <w:br/>
      </w:r>
    </w:p>
    <w:p w:rsidR="0086008B" w:rsidRPr="0086008B" w:rsidRDefault="0086008B" w:rsidP="0086008B">
      <w:pPr>
        <w:numPr>
          <w:ilvl w:val="0"/>
          <w:numId w:val="2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86008B">
        <w:rPr>
          <w:rFonts w:eastAsiaTheme="minorEastAsia" w:hAnsi="Calibri" w:cs="Tahoma"/>
          <w:color w:val="000000" w:themeColor="text1"/>
          <w:kern w:val="24"/>
          <w:sz w:val="28"/>
          <w:szCs w:val="28"/>
          <w:u w:val="single"/>
        </w:rPr>
        <w:t>Purpose</w:t>
      </w:r>
      <w:r w:rsidRPr="0086008B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 xml:space="preserve">:  To provide training and education to 0331s serving in the billet of machinegun squad or section leader.  The desired end-state is to develop the doctrinal skills requisite of </w:t>
      </w:r>
      <w:proofErr w:type="gramStart"/>
      <w:r w:rsidRPr="0086008B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>an</w:t>
      </w:r>
      <w:proofErr w:type="gramEnd"/>
      <w:r w:rsidRPr="0086008B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 xml:space="preserve"> 0331 machinegun squad or weapons section leader and to improve student tactical decision-making abilities.   </w:t>
      </w:r>
    </w:p>
    <w:p w:rsidR="0086008B" w:rsidRPr="0086008B" w:rsidRDefault="0086008B" w:rsidP="0086008B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86008B">
        <w:rPr>
          <w:rFonts w:eastAsiaTheme="minorEastAsia" w:hAnsi="Calibri" w:cs="Tahoma"/>
          <w:color w:val="000000" w:themeColor="text1"/>
          <w:kern w:val="24"/>
          <w:sz w:val="28"/>
          <w:szCs w:val="28"/>
          <w:u w:val="single"/>
        </w:rPr>
        <w:t>Task List</w:t>
      </w:r>
      <w:r w:rsidRPr="0086008B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 xml:space="preserve">: </w:t>
      </w:r>
    </w:p>
    <w:p w:rsidR="0086008B" w:rsidRPr="0086008B" w:rsidRDefault="0086008B" w:rsidP="0086008B">
      <w:pPr>
        <w:numPr>
          <w:ilvl w:val="1"/>
          <w:numId w:val="2"/>
        </w:numPr>
        <w:spacing w:after="0" w:line="216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86008B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 xml:space="preserve">1000 Level: </w:t>
      </w:r>
    </w:p>
    <w:p w:rsidR="0086008B" w:rsidRPr="0086008B" w:rsidRDefault="0086008B" w:rsidP="0086008B">
      <w:pPr>
        <w:numPr>
          <w:ilvl w:val="2"/>
          <w:numId w:val="2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86008B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Machinegun core competencies</w:t>
      </w:r>
    </w:p>
    <w:p w:rsidR="0086008B" w:rsidRPr="0086008B" w:rsidRDefault="0086008B" w:rsidP="0086008B">
      <w:pPr>
        <w:numPr>
          <w:ilvl w:val="1"/>
          <w:numId w:val="2"/>
        </w:numPr>
        <w:spacing w:after="0" w:line="216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86008B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2000 Level:</w:t>
      </w:r>
    </w:p>
    <w:p w:rsidR="0086008B" w:rsidRPr="0086008B" w:rsidRDefault="0086008B" w:rsidP="0086008B">
      <w:pPr>
        <w:numPr>
          <w:ilvl w:val="2"/>
          <w:numId w:val="2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86008B">
        <w:rPr>
          <w:rFonts w:eastAsiaTheme="minorEastAsia" w:hAnsi="Calibri" w:cs="Arial"/>
          <w:color w:val="000000"/>
          <w:kern w:val="24"/>
          <w:sz w:val="28"/>
          <w:szCs w:val="28"/>
        </w:rPr>
        <w:t>Annex A (troop leading, combat orders, fire support planning, patrolling, and call for fire)</w:t>
      </w:r>
    </w:p>
    <w:p w:rsidR="0086008B" w:rsidRPr="0086008B" w:rsidRDefault="0086008B" w:rsidP="0086008B">
      <w:pPr>
        <w:numPr>
          <w:ilvl w:val="2"/>
          <w:numId w:val="2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86008B">
        <w:rPr>
          <w:rFonts w:eastAsiaTheme="minorEastAsia" w:hAnsi="Calibri" w:cs="Arial"/>
          <w:color w:val="000000"/>
          <w:kern w:val="24"/>
          <w:sz w:val="28"/>
          <w:szCs w:val="28"/>
        </w:rPr>
        <w:t>Offense, defense, and urban operations</w:t>
      </w:r>
    </w:p>
    <w:p w:rsidR="0086008B" w:rsidRPr="0086008B" w:rsidRDefault="0086008B" w:rsidP="0086008B">
      <w:pPr>
        <w:numPr>
          <w:ilvl w:val="2"/>
          <w:numId w:val="2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86008B">
        <w:rPr>
          <w:rFonts w:eastAsiaTheme="minorEastAsia" w:hAnsi="Calibri" w:cs="Arial"/>
          <w:color w:val="000000"/>
          <w:kern w:val="24"/>
          <w:sz w:val="28"/>
          <w:szCs w:val="28"/>
        </w:rPr>
        <w:t>Machinegun employment and advanced gunnery</w:t>
      </w:r>
    </w:p>
    <w:p w:rsidR="0086008B" w:rsidRPr="0086008B" w:rsidRDefault="0086008B" w:rsidP="0086008B">
      <w:pPr>
        <w:numPr>
          <w:ilvl w:val="2"/>
          <w:numId w:val="2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86008B">
        <w:rPr>
          <w:rFonts w:eastAsiaTheme="minorEastAsia" w:hAnsi="Calibri" w:cs="Arial"/>
          <w:color w:val="000000"/>
          <w:kern w:val="24"/>
          <w:sz w:val="28"/>
          <w:szCs w:val="28"/>
        </w:rPr>
        <w:t>Employment of defilade fire</w:t>
      </w:r>
    </w:p>
    <w:p w:rsidR="0086008B" w:rsidRPr="0086008B" w:rsidRDefault="0086008B" w:rsidP="0086008B">
      <w:pPr>
        <w:numPr>
          <w:ilvl w:val="2"/>
          <w:numId w:val="2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86008B">
        <w:rPr>
          <w:rFonts w:eastAsiaTheme="minorEastAsia" w:hAnsi="Calibri" w:cs="Arial"/>
          <w:color w:val="000000"/>
          <w:kern w:val="24"/>
          <w:sz w:val="28"/>
          <w:szCs w:val="28"/>
        </w:rPr>
        <w:t>Employment of overhead fire</w:t>
      </w:r>
    </w:p>
    <w:p w:rsidR="0086008B" w:rsidRPr="0086008B" w:rsidRDefault="0086008B" w:rsidP="0086008B">
      <w:pPr>
        <w:numPr>
          <w:ilvl w:val="0"/>
          <w:numId w:val="2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86008B">
        <w:rPr>
          <w:rFonts w:eastAsiaTheme="minorEastAsia" w:hAnsi="Calibri" w:cs="Tahoma"/>
          <w:color w:val="000000" w:themeColor="text1"/>
          <w:kern w:val="24"/>
          <w:sz w:val="28"/>
          <w:szCs w:val="28"/>
          <w:u w:val="single"/>
        </w:rPr>
        <w:t>Methodology</w:t>
      </w:r>
      <w:r w:rsidRPr="0086008B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 xml:space="preserve">:  </w:t>
      </w:r>
      <w:r w:rsidRPr="0086008B">
        <w:rPr>
          <w:rFonts w:eastAsiaTheme="minorEastAsia" w:hAnsi="Calibri" w:cs="Tahoma"/>
          <w:color w:val="000000"/>
          <w:kern w:val="24"/>
          <w:sz w:val="28"/>
          <w:szCs w:val="28"/>
        </w:rPr>
        <w:t>The c</w:t>
      </w:r>
      <w:r w:rsidRPr="0086008B">
        <w:rPr>
          <w:rFonts w:eastAsiaTheme="minorEastAsia" w:hAnsi="Calibri" w:cs="Arial"/>
          <w:color w:val="000000"/>
          <w:kern w:val="24"/>
          <w:sz w:val="28"/>
          <w:szCs w:val="28"/>
        </w:rPr>
        <w:t>ourse focuses on teaching the skills and doctrinal knowledge required to serve as a machinegun squad or weapons section leader with an emphasis on decision-making.  Instruction is executed through lecture, practical application, field training, and live fire exercises.  Each student is tested during a field leadership evaluation based on a tactical scenario.</w:t>
      </w:r>
    </w:p>
    <w:p w:rsidR="0086008B" w:rsidRPr="0086008B" w:rsidRDefault="0086008B" w:rsidP="0086008B">
      <w:pPr>
        <w:spacing w:after="0"/>
        <w:rPr>
          <w:sz w:val="28"/>
          <w:szCs w:val="28"/>
        </w:rPr>
      </w:pPr>
      <w:r w:rsidRPr="0086008B">
        <w:rPr>
          <w:rFonts w:eastAsiaTheme="minorEastAsia" w:hAnsi="Calibri" w:cs="Tahoma"/>
          <w:color w:val="000000" w:themeColor="text1"/>
          <w:kern w:val="24"/>
          <w:sz w:val="28"/>
          <w:szCs w:val="28"/>
          <w:u w:val="single"/>
        </w:rPr>
        <w:t>Course Length</w:t>
      </w:r>
      <w:r w:rsidRPr="0086008B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>:   6 Weeks / 30 Training Days</w:t>
      </w:r>
    </w:p>
    <w:p w:rsidR="009D7485" w:rsidRDefault="009D7485" w:rsidP="009D7485">
      <w:pPr>
        <w:pStyle w:val="ListParagraph"/>
        <w:spacing w:line="216" w:lineRule="auto"/>
        <w:textAlignment w:val="baseline"/>
        <w:rPr>
          <w:sz w:val="28"/>
        </w:rPr>
      </w:pPr>
      <w:r>
        <w:rPr>
          <w:rFonts w:ascii="Arial" w:eastAsiaTheme="minorEastAsia" w:hAnsi="Arial" w:cs="Tahoma"/>
          <w:color w:val="000000" w:themeColor="text1"/>
          <w:kern w:val="24"/>
          <w:sz w:val="28"/>
          <w:szCs w:val="28"/>
          <w:u w:val="single"/>
        </w:rPr>
        <w:t xml:space="preserve">  </w:t>
      </w:r>
    </w:p>
    <w:p w:rsidR="009D7485" w:rsidRDefault="0086008B">
      <w:hyperlink r:id="rId8" w:history="1">
        <w:r w:rsidR="009D7485" w:rsidRPr="009D7485">
          <w:rPr>
            <w:rStyle w:val="Hyperlink"/>
          </w:rPr>
          <w:t>FY 14 Course Message</w:t>
        </w:r>
      </w:hyperlink>
    </w:p>
    <w:p w:rsidR="009D7485" w:rsidRDefault="0086008B">
      <w:hyperlink r:id="rId9" w:history="1">
        <w:r w:rsidR="009D7485" w:rsidRPr="009D7485">
          <w:rPr>
            <w:rStyle w:val="Hyperlink"/>
          </w:rPr>
          <w:t>Command Screening Check List</w:t>
        </w:r>
      </w:hyperlink>
    </w:p>
    <w:p w:rsidR="009D7485" w:rsidRDefault="0086008B">
      <w:hyperlink r:id="rId10" w:history="1">
        <w:r w:rsidR="006B30B7" w:rsidRPr="006B30B7">
          <w:rPr>
            <w:rStyle w:val="Hyperlink"/>
          </w:rPr>
          <w:t>Gear List</w:t>
        </w:r>
      </w:hyperlink>
      <w:bookmarkStart w:id="0" w:name="_GoBack"/>
      <w:bookmarkEnd w:id="0"/>
    </w:p>
    <w:sectPr w:rsidR="009D7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795"/>
    <w:multiLevelType w:val="hybridMultilevel"/>
    <w:tmpl w:val="B61A8304"/>
    <w:lvl w:ilvl="0" w:tplc="8F705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01CE0">
      <w:start w:val="21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08A0E">
      <w:start w:val="21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C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21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0B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6B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85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86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55A5F5D"/>
    <w:multiLevelType w:val="hybridMultilevel"/>
    <w:tmpl w:val="9BD60902"/>
    <w:lvl w:ilvl="0" w:tplc="0862F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D30E">
      <w:start w:val="18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ACFDC">
      <w:start w:val="18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8CD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F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46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E2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2A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07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85"/>
    <w:rsid w:val="006B30B7"/>
    <w:rsid w:val="00793CD0"/>
    <w:rsid w:val="0086008B"/>
    <w:rsid w:val="009D7485"/>
    <w:rsid w:val="00D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F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5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F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5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69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1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3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0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9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1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1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3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442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4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3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6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3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0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30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86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4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7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2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89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9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307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50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5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1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0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83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17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23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om.marines.mil/Portals/127/Docs/AITB/FY14/IULTC/FY%2014%20AMGC%20Course%20Message%20as%20of%20130515.do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com.marines.mil/Portals/127/Docs/AITB/FY14/IULTC/pdf/AMGC%20GEARLI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om.marines.mil/Portals/127/Docs/AITB/FY14/IULTC/pdf/AMGC%20CHECK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 CIV Stevan</dc:creator>
  <cp:lastModifiedBy>Perez CIV Stevan</cp:lastModifiedBy>
  <cp:revision>2</cp:revision>
  <dcterms:created xsi:type="dcterms:W3CDTF">2013-09-05T22:49:00Z</dcterms:created>
  <dcterms:modified xsi:type="dcterms:W3CDTF">2013-09-05T22:49:00Z</dcterms:modified>
</cp:coreProperties>
</file>