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520CAD">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20CAD" w:rsidRPr="00EB3F02" w:rsidRDefault="00F9060D" w:rsidP="00F9060D">
      <w:pPr>
        <w:pStyle w:val="Heading1"/>
        <w:spacing w:before="0"/>
        <w:jc w:val="center"/>
        <w:rPr>
          <w:sz w:val="22"/>
          <w:szCs w:val="22"/>
        </w:rPr>
      </w:pPr>
      <w:r w:rsidRPr="00F9060D">
        <w:rPr>
          <w:rFonts w:ascii="Arial" w:hAnsi="Arial" w:cs="Arial"/>
          <w:color w:val="000000" w:themeColor="text1"/>
          <w:kern w:val="24"/>
          <w:sz w:val="52"/>
          <w:szCs w:val="52"/>
        </w:rPr>
        <w:t xml:space="preserve">LAR LEADERS </w:t>
      </w:r>
      <w:r w:rsidRPr="00F9060D">
        <w:rPr>
          <w:rFonts w:ascii="Arial" w:hAnsi="Arial" w:cs="Arial"/>
          <w:color w:val="000000" w:themeColor="text1"/>
          <w:kern w:val="24"/>
          <w:sz w:val="52"/>
          <w:szCs w:val="52"/>
        </w:rPr>
        <w:br/>
        <w:t>COURSE</w:t>
      </w:r>
      <w:r w:rsidR="001B5853" w:rsidRPr="00F9060D">
        <w:rPr>
          <w:sz w:val="52"/>
          <w:szCs w:val="52"/>
        </w:rPr>
        <w:br/>
      </w:r>
    </w:p>
    <w:p w:rsidR="00F9060D" w:rsidRPr="00EB3F02" w:rsidRDefault="0086008B" w:rsidP="00F9060D">
      <w:pPr>
        <w:pStyle w:val="ListParagraph"/>
        <w:numPr>
          <w:ilvl w:val="0"/>
          <w:numId w:val="4"/>
        </w:numPr>
        <w:kinsoku w:val="0"/>
        <w:overflowPunct w:val="0"/>
        <w:textAlignment w:val="baseline"/>
        <w:rPr>
          <w:sz w:val="22"/>
          <w:szCs w:val="22"/>
        </w:rPr>
      </w:pPr>
      <w:r w:rsidRPr="00EB3F02">
        <w:rPr>
          <w:sz w:val="22"/>
          <w:szCs w:val="22"/>
        </w:rPr>
        <w:t xml:space="preserve"> </w:t>
      </w:r>
      <w:r w:rsidR="00F9060D" w:rsidRPr="00EB3F02">
        <w:rPr>
          <w:rFonts w:ascii="Calibri" w:eastAsia="+mn-ea" w:hAnsi="Calibri" w:cs="Tahoma"/>
          <w:color w:val="000000"/>
          <w:kern w:val="24"/>
          <w:sz w:val="22"/>
          <w:szCs w:val="22"/>
          <w:u w:val="single"/>
        </w:rPr>
        <w:t>Purpose</w:t>
      </w:r>
      <w:r w:rsidR="00F9060D" w:rsidRPr="00EB3F02">
        <w:rPr>
          <w:rFonts w:ascii="Calibri" w:eastAsia="+mn-ea" w:hAnsi="Calibri" w:cs="Tahoma"/>
          <w:color w:val="000000"/>
          <w:kern w:val="24"/>
          <w:sz w:val="22"/>
          <w:szCs w:val="22"/>
        </w:rPr>
        <w:t xml:space="preserve">:  </w:t>
      </w:r>
      <w:r w:rsidR="00F9060D" w:rsidRPr="00EB3F02">
        <w:rPr>
          <w:rFonts w:ascii="Calibri" w:eastAsia="+mn-ea" w:hAnsi="Calibri" w:cs="Arial"/>
          <w:color w:val="000000"/>
          <w:kern w:val="24"/>
          <w:sz w:val="22"/>
          <w:szCs w:val="22"/>
        </w:rPr>
        <w:t>To train Marine Corps Infantry Officers and Staff Non-Commissioned Officers scheduled for assignment to Marine Corps Light Armored Reconnaissance units to command and supervise the training, operations, employment and maintenance of Light Armored Reconnaissance (LAR) platoons, and their associated weapons systems and crews.</w:t>
      </w:r>
    </w:p>
    <w:p w:rsidR="00F9060D" w:rsidRPr="00EB3F02" w:rsidRDefault="00F9060D" w:rsidP="00F9060D">
      <w:pPr>
        <w:pStyle w:val="ListParagraph"/>
        <w:numPr>
          <w:ilvl w:val="0"/>
          <w:numId w:val="4"/>
        </w:numPr>
        <w:textAlignment w:val="baseline"/>
        <w:rPr>
          <w:sz w:val="22"/>
          <w:szCs w:val="22"/>
        </w:rPr>
      </w:pPr>
      <w:r w:rsidRPr="00EB3F02">
        <w:rPr>
          <w:rFonts w:ascii="Calibri" w:eastAsia="+mn-ea" w:hAnsi="Calibri" w:cs="Tahoma"/>
          <w:color w:val="000000"/>
          <w:kern w:val="24"/>
          <w:sz w:val="22"/>
          <w:szCs w:val="22"/>
          <w:u w:val="single"/>
        </w:rPr>
        <w:t>Task List</w:t>
      </w:r>
      <w:r w:rsidRPr="00EB3F02">
        <w:rPr>
          <w:rFonts w:ascii="Calibri" w:eastAsia="+mn-ea" w:hAnsi="Calibri" w:cs="Tahoma"/>
          <w:color w:val="000000"/>
          <w:kern w:val="24"/>
          <w:sz w:val="22"/>
          <w:szCs w:val="22"/>
        </w:rPr>
        <w:t xml:space="preserve">: </w:t>
      </w:r>
    </w:p>
    <w:p w:rsidR="00F9060D" w:rsidRPr="00EB3F02" w:rsidRDefault="00F9060D" w:rsidP="00F9060D">
      <w:pPr>
        <w:pStyle w:val="ListParagraph"/>
        <w:numPr>
          <w:ilvl w:val="1"/>
          <w:numId w:val="4"/>
        </w:numPr>
        <w:spacing w:line="216" w:lineRule="auto"/>
        <w:textAlignment w:val="baseline"/>
        <w:rPr>
          <w:sz w:val="22"/>
          <w:szCs w:val="22"/>
        </w:rPr>
      </w:pPr>
      <w:r w:rsidRPr="00EB3F02">
        <w:rPr>
          <w:rFonts w:ascii="Calibri" w:eastAsia="+mn-ea" w:hAnsi="Calibri" w:cs="Arial"/>
          <w:color w:val="000000"/>
          <w:kern w:val="24"/>
          <w:sz w:val="22"/>
          <w:szCs w:val="22"/>
        </w:rPr>
        <w:t xml:space="preserve">1000 Level: </w:t>
      </w:r>
    </w:p>
    <w:p w:rsidR="00F9060D" w:rsidRPr="00EB3F02" w:rsidRDefault="00F9060D" w:rsidP="00F9060D">
      <w:pPr>
        <w:pStyle w:val="ListParagraph"/>
        <w:numPr>
          <w:ilvl w:val="2"/>
          <w:numId w:val="4"/>
        </w:numPr>
        <w:spacing w:line="216" w:lineRule="auto"/>
        <w:textAlignment w:val="baseline"/>
        <w:rPr>
          <w:sz w:val="22"/>
          <w:szCs w:val="22"/>
        </w:rPr>
      </w:pPr>
      <w:r w:rsidRPr="00EB3F02">
        <w:rPr>
          <w:rFonts w:ascii="Calibri" w:eastAsia="+mn-ea" w:hAnsi="Calibri" w:cs="Arial"/>
          <w:color w:val="000000"/>
          <w:kern w:val="24"/>
          <w:sz w:val="22"/>
          <w:szCs w:val="22"/>
        </w:rPr>
        <w:t>Orders Development, Writing and Issue</w:t>
      </w:r>
    </w:p>
    <w:p w:rsidR="00F9060D" w:rsidRPr="00EB3F02" w:rsidRDefault="00F9060D" w:rsidP="00F9060D">
      <w:pPr>
        <w:pStyle w:val="ListParagraph"/>
        <w:numPr>
          <w:ilvl w:val="2"/>
          <w:numId w:val="4"/>
        </w:numPr>
        <w:spacing w:line="216" w:lineRule="auto"/>
        <w:textAlignment w:val="baseline"/>
        <w:rPr>
          <w:sz w:val="22"/>
          <w:szCs w:val="22"/>
        </w:rPr>
      </w:pPr>
      <w:r w:rsidRPr="00EB3F02">
        <w:rPr>
          <w:rFonts w:ascii="Calibri" w:eastAsia="+mn-ea" w:hAnsi="Calibri" w:cs="Arial"/>
          <w:color w:val="000000"/>
          <w:kern w:val="24"/>
          <w:sz w:val="22"/>
          <w:szCs w:val="22"/>
        </w:rPr>
        <w:t>Fire Support Planning and Employment</w:t>
      </w:r>
    </w:p>
    <w:p w:rsidR="00F9060D" w:rsidRPr="00EB3F02" w:rsidRDefault="00F9060D" w:rsidP="00F9060D">
      <w:pPr>
        <w:pStyle w:val="ListParagraph"/>
        <w:numPr>
          <w:ilvl w:val="1"/>
          <w:numId w:val="4"/>
        </w:numPr>
        <w:spacing w:line="216" w:lineRule="auto"/>
        <w:textAlignment w:val="baseline"/>
        <w:rPr>
          <w:sz w:val="22"/>
          <w:szCs w:val="22"/>
        </w:rPr>
      </w:pPr>
      <w:r w:rsidRPr="00EB3F02">
        <w:rPr>
          <w:rFonts w:ascii="Calibri" w:eastAsia="+mn-ea" w:hAnsi="Calibri" w:cs="Arial"/>
          <w:color w:val="000000"/>
          <w:kern w:val="24"/>
          <w:sz w:val="22"/>
          <w:szCs w:val="22"/>
        </w:rPr>
        <w:t>2000 Level:</w:t>
      </w:r>
    </w:p>
    <w:p w:rsidR="00F9060D" w:rsidRPr="00EB3F02" w:rsidRDefault="00F9060D" w:rsidP="00F9060D">
      <w:pPr>
        <w:pStyle w:val="ListParagraph"/>
        <w:numPr>
          <w:ilvl w:val="2"/>
          <w:numId w:val="4"/>
        </w:numPr>
        <w:spacing w:line="216" w:lineRule="auto"/>
        <w:textAlignment w:val="baseline"/>
        <w:rPr>
          <w:sz w:val="22"/>
          <w:szCs w:val="22"/>
        </w:rPr>
      </w:pPr>
      <w:r w:rsidRPr="00EB3F02">
        <w:rPr>
          <w:rFonts w:ascii="Calibri" w:eastAsia="+mn-ea" w:hAnsi="Calibri" w:cs="Arial"/>
          <w:color w:val="000000"/>
          <w:kern w:val="24"/>
          <w:sz w:val="22"/>
          <w:szCs w:val="22"/>
        </w:rPr>
        <w:t>Supervise Preventative Maintenance, Checks and Services</w:t>
      </w:r>
    </w:p>
    <w:p w:rsidR="00F9060D" w:rsidRPr="00EB3F02" w:rsidRDefault="00F9060D" w:rsidP="00F9060D">
      <w:pPr>
        <w:pStyle w:val="ListParagraph"/>
        <w:numPr>
          <w:ilvl w:val="2"/>
          <w:numId w:val="4"/>
        </w:numPr>
        <w:spacing w:line="216" w:lineRule="auto"/>
        <w:textAlignment w:val="baseline"/>
        <w:rPr>
          <w:sz w:val="22"/>
          <w:szCs w:val="22"/>
        </w:rPr>
      </w:pPr>
      <w:r w:rsidRPr="00EB3F02">
        <w:rPr>
          <w:rFonts w:ascii="Calibri" w:eastAsia="+mn-ea" w:hAnsi="Calibri" w:cs="Arial"/>
          <w:color w:val="000000"/>
          <w:kern w:val="24"/>
          <w:sz w:val="22"/>
          <w:szCs w:val="22"/>
        </w:rPr>
        <w:t>Vehicle Commander Skills, Employment of LAV-25 Weapons Systems and Directing LAV unit fires</w:t>
      </w:r>
    </w:p>
    <w:p w:rsidR="00F9060D" w:rsidRPr="00EB3F02" w:rsidRDefault="00F9060D" w:rsidP="00F9060D">
      <w:pPr>
        <w:pStyle w:val="ListParagraph"/>
        <w:numPr>
          <w:ilvl w:val="2"/>
          <w:numId w:val="4"/>
        </w:numPr>
        <w:spacing w:line="216" w:lineRule="auto"/>
        <w:textAlignment w:val="baseline"/>
        <w:rPr>
          <w:sz w:val="22"/>
          <w:szCs w:val="22"/>
        </w:rPr>
      </w:pPr>
      <w:r w:rsidRPr="00EB3F02">
        <w:rPr>
          <w:rFonts w:ascii="Calibri" w:eastAsia="+mn-ea" w:hAnsi="Calibri" w:cs="Arial"/>
          <w:color w:val="000000"/>
          <w:kern w:val="24"/>
          <w:sz w:val="22"/>
          <w:szCs w:val="22"/>
        </w:rPr>
        <w:t>Platoon/Scout Employment in Reconnaissance, Security, and Limited Offensive Operations</w:t>
      </w:r>
    </w:p>
    <w:p w:rsidR="00F9060D" w:rsidRPr="00EB3F02" w:rsidRDefault="00F9060D" w:rsidP="00F9060D">
      <w:pPr>
        <w:pStyle w:val="ListParagraph"/>
        <w:numPr>
          <w:ilvl w:val="0"/>
          <w:numId w:val="4"/>
        </w:numPr>
        <w:spacing w:line="216" w:lineRule="auto"/>
        <w:textAlignment w:val="baseline"/>
        <w:rPr>
          <w:sz w:val="22"/>
          <w:szCs w:val="22"/>
        </w:rPr>
      </w:pPr>
      <w:r w:rsidRPr="00EB3F02">
        <w:rPr>
          <w:rFonts w:ascii="Calibri" w:eastAsia="+mn-ea" w:hAnsi="Calibri" w:cs="Tahoma"/>
          <w:color w:val="000000"/>
          <w:kern w:val="24"/>
          <w:sz w:val="22"/>
          <w:szCs w:val="22"/>
          <w:u w:val="single"/>
        </w:rPr>
        <w:t>Methodology</w:t>
      </w:r>
      <w:r w:rsidRPr="00EB3F02">
        <w:rPr>
          <w:rFonts w:ascii="Calibri" w:eastAsia="+mn-ea" w:hAnsi="Calibri" w:cs="Tahoma"/>
          <w:color w:val="000000"/>
          <w:kern w:val="24"/>
          <w:sz w:val="22"/>
          <w:szCs w:val="22"/>
        </w:rPr>
        <w:t xml:space="preserve">:  </w:t>
      </w:r>
      <w:r w:rsidRPr="00EB3F02">
        <w:rPr>
          <w:rFonts w:ascii="Calibri" w:eastAsia="+mn-ea" w:hAnsi="Calibri" w:cs="Arial"/>
          <w:color w:val="000000"/>
          <w:kern w:val="24"/>
          <w:sz w:val="22"/>
          <w:szCs w:val="22"/>
        </w:rPr>
        <w:t>The course provides classroom instruction and practical application on routine vehicle operations, maintenance management and communications, supplemented by simulation-based training for turret familiarization and target engagement.  The course includes detailed instruction on reconnaissance and security operations, tactical employment and limited offensive operations.</w:t>
      </w:r>
      <w:r w:rsidRPr="00EB3F02">
        <w:rPr>
          <w:rFonts w:ascii="Calibri" w:eastAsia="+mn-ea" w:hAnsi="Calibri" w:cs="Tahoma"/>
          <w:color w:val="000000"/>
          <w:kern w:val="24"/>
          <w:sz w:val="22"/>
          <w:szCs w:val="22"/>
        </w:rPr>
        <w:t xml:space="preserve">  All students are evaluated in a tactical environment on their ability to</w:t>
      </w:r>
      <w:r w:rsidRPr="00EB3F02">
        <w:rPr>
          <w:rFonts w:ascii="Calibri" w:eastAsia="+mn-ea" w:hAnsi="Calibri" w:cs="Arial"/>
          <w:color w:val="000000"/>
          <w:kern w:val="24"/>
          <w:sz w:val="22"/>
          <w:szCs w:val="22"/>
        </w:rPr>
        <w:t xml:space="preserve"> employ a platoon to accomplish a LAR mission.  The course culminates with a platoon live fire area reconnaissance.</w:t>
      </w:r>
    </w:p>
    <w:p w:rsidR="00F9060D" w:rsidRPr="00EB3F02" w:rsidRDefault="00F9060D" w:rsidP="00F9060D">
      <w:pPr>
        <w:pStyle w:val="ListParagraph"/>
        <w:numPr>
          <w:ilvl w:val="0"/>
          <w:numId w:val="4"/>
        </w:numPr>
        <w:spacing w:line="216" w:lineRule="auto"/>
        <w:textAlignment w:val="baseline"/>
        <w:rPr>
          <w:sz w:val="22"/>
          <w:szCs w:val="22"/>
        </w:rPr>
      </w:pPr>
      <w:r w:rsidRPr="00EB3F02">
        <w:rPr>
          <w:rFonts w:ascii="Calibri" w:eastAsia="+mn-ea" w:hAnsi="Calibri" w:cs="Tahoma"/>
          <w:color w:val="000000"/>
          <w:kern w:val="24"/>
          <w:sz w:val="22"/>
          <w:szCs w:val="22"/>
          <w:u w:val="single"/>
        </w:rPr>
        <w:t>Course Length</w:t>
      </w:r>
      <w:r w:rsidRPr="00EB3F02">
        <w:rPr>
          <w:rFonts w:ascii="Calibri" w:eastAsia="+mn-ea" w:hAnsi="Calibri" w:cs="Tahoma"/>
          <w:color w:val="000000"/>
          <w:kern w:val="24"/>
          <w:sz w:val="22"/>
          <w:szCs w:val="22"/>
        </w:rPr>
        <w:t>: 6 weeks / 30 Training Days</w:t>
      </w:r>
    </w:p>
    <w:p w:rsidR="00EB3F02" w:rsidRPr="00EB3F02" w:rsidRDefault="00EB3F02" w:rsidP="00EB3F02">
      <w:pPr>
        <w:pStyle w:val="ListParagraph"/>
        <w:spacing w:line="216" w:lineRule="auto"/>
        <w:textAlignment w:val="baseline"/>
        <w:rPr>
          <w:sz w:val="22"/>
          <w:szCs w:val="22"/>
        </w:rPr>
      </w:pPr>
      <w:bookmarkStart w:id="0" w:name="_GoBack"/>
      <w:bookmarkEnd w:id="0"/>
    </w:p>
    <w:p w:rsidR="009D7485" w:rsidRDefault="00EB3F02">
      <w:hyperlink r:id="rId8" w:history="1">
        <w:r>
          <w:rPr>
            <w:rStyle w:val="Hyperlink"/>
          </w:rPr>
          <w:t>FY 13 Course Message</w:t>
        </w:r>
      </w:hyperlink>
    </w:p>
    <w:p w:rsidR="009D7485" w:rsidRDefault="00EB3F02">
      <w:hyperlink r:id="rId9" w:history="1">
        <w:r w:rsidR="009D7485" w:rsidRPr="009D7485">
          <w:rPr>
            <w:rStyle w:val="Hyperlink"/>
          </w:rPr>
          <w:t>Command Screening Check List</w:t>
        </w:r>
      </w:hyperlink>
    </w:p>
    <w:p w:rsidR="009D7485" w:rsidRDefault="00EB3F02">
      <w:pPr>
        <w:rPr>
          <w:rStyle w:val="Hyperlink"/>
        </w:rPr>
      </w:pPr>
      <w:hyperlink r:id="rId10" w:history="1">
        <w:r w:rsidR="006B30B7" w:rsidRPr="006B30B7">
          <w:rPr>
            <w:rStyle w:val="Hyperlink"/>
          </w:rPr>
          <w:t>Gear List</w:t>
        </w:r>
      </w:hyperlink>
    </w:p>
    <w:p w:rsidR="00EB3F02" w:rsidRDefault="00520CAD">
      <w:pPr>
        <w:rPr>
          <w:rStyle w:val="Hyperlink"/>
        </w:rPr>
      </w:pPr>
      <w:hyperlink r:id="rId11" w:history="1">
        <w:r w:rsidRPr="00F37227">
          <w:rPr>
            <w:rStyle w:val="Hyperlink"/>
          </w:rPr>
          <w:t>Resources</w:t>
        </w:r>
      </w:hyperlink>
      <w:r w:rsidR="00EB3F02">
        <w:rPr>
          <w:rStyle w:val="Hyperlink"/>
        </w:rPr>
        <w:t xml:space="preserve">                                                             </w:t>
      </w:r>
    </w:p>
    <w:p w:rsidR="00520CAD" w:rsidRDefault="00EB3F02">
      <w:hyperlink r:id="rId12" w:history="1">
        <w:r w:rsidRPr="00EB3F02">
          <w:rPr>
            <w:rStyle w:val="Hyperlink"/>
          </w:rPr>
          <w:t>Date Change</w:t>
        </w:r>
      </w:hyperlink>
    </w:p>
    <w:sectPr w:rsidR="00520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2">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abstractNum w:abstractNumId="3">
    <w:nsid w:val="4F2E6E2F"/>
    <w:multiLevelType w:val="hybridMultilevel"/>
    <w:tmpl w:val="A0CE8EB2"/>
    <w:lvl w:ilvl="0" w:tplc="C36EFA0E">
      <w:start w:val="1"/>
      <w:numFmt w:val="bullet"/>
      <w:lvlText w:val="•"/>
      <w:lvlJc w:val="left"/>
      <w:pPr>
        <w:tabs>
          <w:tab w:val="num" w:pos="720"/>
        </w:tabs>
        <w:ind w:left="720" w:hanging="360"/>
      </w:pPr>
      <w:rPr>
        <w:rFonts w:ascii="Arial" w:hAnsi="Arial" w:hint="default"/>
      </w:rPr>
    </w:lvl>
    <w:lvl w:ilvl="1" w:tplc="AFC6EE9E">
      <w:start w:val="971"/>
      <w:numFmt w:val="bullet"/>
      <w:lvlText w:val="–"/>
      <w:lvlJc w:val="left"/>
      <w:pPr>
        <w:tabs>
          <w:tab w:val="num" w:pos="1440"/>
        </w:tabs>
        <w:ind w:left="1440" w:hanging="360"/>
      </w:pPr>
      <w:rPr>
        <w:rFonts w:ascii="Arial" w:hAnsi="Arial" w:hint="default"/>
      </w:rPr>
    </w:lvl>
    <w:lvl w:ilvl="2" w:tplc="D52C8882">
      <w:start w:val="971"/>
      <w:numFmt w:val="bullet"/>
      <w:lvlText w:val="•"/>
      <w:lvlJc w:val="left"/>
      <w:pPr>
        <w:tabs>
          <w:tab w:val="num" w:pos="2160"/>
        </w:tabs>
        <w:ind w:left="2160" w:hanging="360"/>
      </w:pPr>
      <w:rPr>
        <w:rFonts w:ascii="Arial" w:hAnsi="Arial" w:hint="default"/>
      </w:rPr>
    </w:lvl>
    <w:lvl w:ilvl="3" w:tplc="50982A42" w:tentative="1">
      <w:start w:val="1"/>
      <w:numFmt w:val="bullet"/>
      <w:lvlText w:val="•"/>
      <w:lvlJc w:val="left"/>
      <w:pPr>
        <w:tabs>
          <w:tab w:val="num" w:pos="2880"/>
        </w:tabs>
        <w:ind w:left="2880" w:hanging="360"/>
      </w:pPr>
      <w:rPr>
        <w:rFonts w:ascii="Arial" w:hAnsi="Arial" w:hint="default"/>
      </w:rPr>
    </w:lvl>
    <w:lvl w:ilvl="4" w:tplc="8DA2FBDE" w:tentative="1">
      <w:start w:val="1"/>
      <w:numFmt w:val="bullet"/>
      <w:lvlText w:val="•"/>
      <w:lvlJc w:val="left"/>
      <w:pPr>
        <w:tabs>
          <w:tab w:val="num" w:pos="3600"/>
        </w:tabs>
        <w:ind w:left="3600" w:hanging="360"/>
      </w:pPr>
      <w:rPr>
        <w:rFonts w:ascii="Arial" w:hAnsi="Arial" w:hint="default"/>
      </w:rPr>
    </w:lvl>
    <w:lvl w:ilvl="5" w:tplc="0406D552" w:tentative="1">
      <w:start w:val="1"/>
      <w:numFmt w:val="bullet"/>
      <w:lvlText w:val="•"/>
      <w:lvlJc w:val="left"/>
      <w:pPr>
        <w:tabs>
          <w:tab w:val="num" w:pos="4320"/>
        </w:tabs>
        <w:ind w:left="4320" w:hanging="360"/>
      </w:pPr>
      <w:rPr>
        <w:rFonts w:ascii="Arial" w:hAnsi="Arial" w:hint="default"/>
      </w:rPr>
    </w:lvl>
    <w:lvl w:ilvl="6" w:tplc="321E385E" w:tentative="1">
      <w:start w:val="1"/>
      <w:numFmt w:val="bullet"/>
      <w:lvlText w:val="•"/>
      <w:lvlJc w:val="left"/>
      <w:pPr>
        <w:tabs>
          <w:tab w:val="num" w:pos="5040"/>
        </w:tabs>
        <w:ind w:left="5040" w:hanging="360"/>
      </w:pPr>
      <w:rPr>
        <w:rFonts w:ascii="Arial" w:hAnsi="Arial" w:hint="default"/>
      </w:rPr>
    </w:lvl>
    <w:lvl w:ilvl="7" w:tplc="FC0276A4" w:tentative="1">
      <w:start w:val="1"/>
      <w:numFmt w:val="bullet"/>
      <w:lvlText w:val="•"/>
      <w:lvlJc w:val="left"/>
      <w:pPr>
        <w:tabs>
          <w:tab w:val="num" w:pos="5760"/>
        </w:tabs>
        <w:ind w:left="5760" w:hanging="360"/>
      </w:pPr>
      <w:rPr>
        <w:rFonts w:ascii="Arial" w:hAnsi="Arial" w:hint="default"/>
      </w:rPr>
    </w:lvl>
    <w:lvl w:ilvl="8" w:tplc="DB3C39F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1B5853"/>
    <w:rsid w:val="00520CAD"/>
    <w:rsid w:val="00573830"/>
    <w:rsid w:val="006B30B7"/>
    <w:rsid w:val="00793CD0"/>
    <w:rsid w:val="0086008B"/>
    <w:rsid w:val="009D7485"/>
    <w:rsid w:val="00AB5988"/>
    <w:rsid w:val="00DE5F19"/>
    <w:rsid w:val="00EB3F02"/>
    <w:rsid w:val="00F9060D"/>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2039577201">
      <w:bodyDiv w:val="1"/>
      <w:marLeft w:val="0"/>
      <w:marRight w:val="0"/>
      <w:marTop w:val="0"/>
      <w:marBottom w:val="0"/>
      <w:divBdr>
        <w:top w:val="none" w:sz="0" w:space="0" w:color="auto"/>
        <w:left w:val="none" w:sz="0" w:space="0" w:color="auto"/>
        <w:bottom w:val="none" w:sz="0" w:space="0" w:color="auto"/>
        <w:right w:val="none" w:sz="0" w:space="0" w:color="auto"/>
      </w:divBdr>
      <w:divsChild>
        <w:div w:id="1403984527">
          <w:marLeft w:val="547"/>
          <w:marRight w:val="0"/>
          <w:marTop w:val="67"/>
          <w:marBottom w:val="0"/>
          <w:divBdr>
            <w:top w:val="none" w:sz="0" w:space="0" w:color="auto"/>
            <w:left w:val="none" w:sz="0" w:space="0" w:color="auto"/>
            <w:bottom w:val="none" w:sz="0" w:space="0" w:color="auto"/>
            <w:right w:val="none" w:sz="0" w:space="0" w:color="auto"/>
          </w:divBdr>
        </w:div>
        <w:div w:id="477695417">
          <w:marLeft w:val="547"/>
          <w:marRight w:val="0"/>
          <w:marTop w:val="67"/>
          <w:marBottom w:val="0"/>
          <w:divBdr>
            <w:top w:val="none" w:sz="0" w:space="0" w:color="auto"/>
            <w:left w:val="none" w:sz="0" w:space="0" w:color="auto"/>
            <w:bottom w:val="none" w:sz="0" w:space="0" w:color="auto"/>
            <w:right w:val="none" w:sz="0" w:space="0" w:color="auto"/>
          </w:divBdr>
        </w:div>
        <w:div w:id="1562599644">
          <w:marLeft w:val="1166"/>
          <w:marRight w:val="0"/>
          <w:marTop w:val="67"/>
          <w:marBottom w:val="0"/>
          <w:divBdr>
            <w:top w:val="none" w:sz="0" w:space="0" w:color="auto"/>
            <w:left w:val="none" w:sz="0" w:space="0" w:color="auto"/>
            <w:bottom w:val="none" w:sz="0" w:space="0" w:color="auto"/>
            <w:right w:val="none" w:sz="0" w:space="0" w:color="auto"/>
          </w:divBdr>
        </w:div>
        <w:div w:id="913318585">
          <w:marLeft w:val="1800"/>
          <w:marRight w:val="0"/>
          <w:marTop w:val="67"/>
          <w:marBottom w:val="0"/>
          <w:divBdr>
            <w:top w:val="none" w:sz="0" w:space="0" w:color="auto"/>
            <w:left w:val="none" w:sz="0" w:space="0" w:color="auto"/>
            <w:bottom w:val="none" w:sz="0" w:space="0" w:color="auto"/>
            <w:right w:val="none" w:sz="0" w:space="0" w:color="auto"/>
          </w:divBdr>
        </w:div>
        <w:div w:id="148207551">
          <w:marLeft w:val="1800"/>
          <w:marRight w:val="0"/>
          <w:marTop w:val="67"/>
          <w:marBottom w:val="0"/>
          <w:divBdr>
            <w:top w:val="none" w:sz="0" w:space="0" w:color="auto"/>
            <w:left w:val="none" w:sz="0" w:space="0" w:color="auto"/>
            <w:bottom w:val="none" w:sz="0" w:space="0" w:color="auto"/>
            <w:right w:val="none" w:sz="0" w:space="0" w:color="auto"/>
          </w:divBdr>
        </w:div>
        <w:div w:id="1379164654">
          <w:marLeft w:val="1166"/>
          <w:marRight w:val="0"/>
          <w:marTop w:val="67"/>
          <w:marBottom w:val="0"/>
          <w:divBdr>
            <w:top w:val="none" w:sz="0" w:space="0" w:color="auto"/>
            <w:left w:val="none" w:sz="0" w:space="0" w:color="auto"/>
            <w:bottom w:val="none" w:sz="0" w:space="0" w:color="auto"/>
            <w:right w:val="none" w:sz="0" w:space="0" w:color="auto"/>
          </w:divBdr>
        </w:div>
        <w:div w:id="1216239928">
          <w:marLeft w:val="1800"/>
          <w:marRight w:val="0"/>
          <w:marTop w:val="67"/>
          <w:marBottom w:val="0"/>
          <w:divBdr>
            <w:top w:val="none" w:sz="0" w:space="0" w:color="auto"/>
            <w:left w:val="none" w:sz="0" w:space="0" w:color="auto"/>
            <w:bottom w:val="none" w:sz="0" w:space="0" w:color="auto"/>
            <w:right w:val="none" w:sz="0" w:space="0" w:color="auto"/>
          </w:divBdr>
        </w:div>
        <w:div w:id="188686307">
          <w:marLeft w:val="1800"/>
          <w:marRight w:val="0"/>
          <w:marTop w:val="67"/>
          <w:marBottom w:val="0"/>
          <w:divBdr>
            <w:top w:val="none" w:sz="0" w:space="0" w:color="auto"/>
            <w:left w:val="none" w:sz="0" w:space="0" w:color="auto"/>
            <w:bottom w:val="none" w:sz="0" w:space="0" w:color="auto"/>
            <w:right w:val="none" w:sz="0" w:space="0" w:color="auto"/>
          </w:divBdr>
        </w:div>
        <w:div w:id="1715810237">
          <w:marLeft w:val="1800"/>
          <w:marRight w:val="0"/>
          <w:marTop w:val="67"/>
          <w:marBottom w:val="0"/>
          <w:divBdr>
            <w:top w:val="none" w:sz="0" w:space="0" w:color="auto"/>
            <w:left w:val="none" w:sz="0" w:space="0" w:color="auto"/>
            <w:bottom w:val="none" w:sz="0" w:space="0" w:color="auto"/>
            <w:right w:val="none" w:sz="0" w:space="0" w:color="auto"/>
          </w:divBdr>
        </w:div>
        <w:div w:id="1270507398">
          <w:marLeft w:val="547"/>
          <w:marRight w:val="0"/>
          <w:marTop w:val="67"/>
          <w:marBottom w:val="0"/>
          <w:divBdr>
            <w:top w:val="none" w:sz="0" w:space="0" w:color="auto"/>
            <w:left w:val="none" w:sz="0" w:space="0" w:color="auto"/>
            <w:bottom w:val="none" w:sz="0" w:space="0" w:color="auto"/>
            <w:right w:val="none" w:sz="0" w:space="0" w:color="auto"/>
          </w:divBdr>
        </w:div>
        <w:div w:id="1724479436">
          <w:marLeft w:val="547"/>
          <w:marRight w:val="0"/>
          <w:marTop w:val="67"/>
          <w:marBottom w:val="0"/>
          <w:divBdr>
            <w:top w:val="none" w:sz="0" w:space="0" w:color="auto"/>
            <w:left w:val="none" w:sz="0" w:space="0" w:color="auto"/>
            <w:bottom w:val="none" w:sz="0" w:space="0" w:color="auto"/>
            <w:right w:val="none" w:sz="0" w:space="0" w:color="auto"/>
          </w:divBdr>
        </w:div>
      </w:divsChild>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om.marines.mil/Portals/127/Docs/AITB/FY13/LIGHT%20ARMORED%20RECONNAISSANCE%20LEADER%20COURSE%20FISCAL%20YEAR%2013%20COURSE%20DATES.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tecom.marines.mil/Portals/127/Docs/AITB/FY13/LARLC%203-13%20DATE%20CHANGE%20MESSAG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com.marines.mil/Portals/127/Docs/AITB/FY14/LAVTC/LAVTC_WAIVER_AA_FORM_EXAMPLE.doc" TargetMode="External"/><Relationship Id="rId5" Type="http://schemas.openxmlformats.org/officeDocument/2006/relationships/webSettings" Target="webSettings.xml"/><Relationship Id="rId10" Type="http://schemas.openxmlformats.org/officeDocument/2006/relationships/hyperlink" Target="http://www.tecom.marines.mil/Portals/127/Docs/LARLeadersGearlist.doc" TargetMode="External"/><Relationship Id="rId4" Type="http://schemas.openxmlformats.org/officeDocument/2006/relationships/settings" Target="settings.xml"/><Relationship Id="rId9" Type="http://schemas.openxmlformats.org/officeDocument/2006/relationships/hyperlink" Target="http://www.tecom.marines.mil/Portals/127/Docs/LARLeadersChecklist.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4</cp:revision>
  <dcterms:created xsi:type="dcterms:W3CDTF">2013-09-06T21:43:00Z</dcterms:created>
  <dcterms:modified xsi:type="dcterms:W3CDTF">2013-09-06T21:52:00Z</dcterms:modified>
</cp:coreProperties>
</file>